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C2" w:rsidRDefault="00053FC2" w:rsidP="00053FC2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053FC2" w:rsidRPr="00053FC2" w:rsidRDefault="00053FC2" w:rsidP="00053FC2">
      <w:pPr>
        <w:pStyle w:val="Titre"/>
        <w:ind w:left="360"/>
        <w:jc w:val="center"/>
        <w:rPr>
          <w:sz w:val="36"/>
          <w:szCs w:val="36"/>
          <w:lang w:val="fr-CH"/>
        </w:rPr>
      </w:pPr>
      <w:r w:rsidRPr="00053FC2">
        <w:rPr>
          <w:sz w:val="36"/>
          <w:szCs w:val="36"/>
          <w:lang w:val="fr-CH"/>
        </w:rPr>
        <w:t>Production de semences</w:t>
      </w:r>
    </w:p>
    <w:p w:rsidR="00807F4F" w:rsidRDefault="00807F4F" w:rsidP="00807F4F">
      <w:pPr>
        <w:pStyle w:val="Titre"/>
        <w:jc w:val="center"/>
        <w:rPr>
          <w:b w:val="0"/>
          <w:i/>
          <w:iCs/>
          <w:sz w:val="36"/>
          <w:szCs w:val="36"/>
          <w:lang w:val="fr-FR"/>
        </w:rPr>
      </w:pPr>
      <w:r>
        <w:rPr>
          <w:b w:val="0"/>
          <w:sz w:val="36"/>
          <w:szCs w:val="36"/>
          <w:lang w:val="fr-CH"/>
        </w:rPr>
        <w:t xml:space="preserve">Panais </w:t>
      </w:r>
      <w:r w:rsidRPr="00F14D9C">
        <w:rPr>
          <w:b w:val="0"/>
          <w:i/>
          <w:iCs/>
          <w:sz w:val="36"/>
          <w:szCs w:val="36"/>
          <w:lang w:val="fr-FR"/>
        </w:rPr>
        <w:t>(</w:t>
      </w:r>
      <w:proofErr w:type="spellStart"/>
      <w:r w:rsidRPr="00B13CF6">
        <w:rPr>
          <w:b w:val="0"/>
          <w:i/>
          <w:iCs/>
          <w:sz w:val="36"/>
          <w:szCs w:val="36"/>
          <w:lang w:val="fr-FR"/>
        </w:rPr>
        <w:t>Pastinaca</w:t>
      </w:r>
      <w:proofErr w:type="spellEnd"/>
      <w:r w:rsidRPr="00B13CF6">
        <w:rPr>
          <w:b w:val="0"/>
          <w:i/>
          <w:iCs/>
          <w:sz w:val="36"/>
          <w:szCs w:val="36"/>
          <w:lang w:val="fr-FR"/>
        </w:rPr>
        <w:t xml:space="preserve"> </w:t>
      </w:r>
      <w:proofErr w:type="spellStart"/>
      <w:r w:rsidRPr="00B13CF6">
        <w:rPr>
          <w:b w:val="0"/>
          <w:i/>
          <w:iCs/>
          <w:sz w:val="36"/>
          <w:szCs w:val="36"/>
          <w:lang w:val="fr-FR"/>
        </w:rPr>
        <w:t>sativa</w:t>
      </w:r>
      <w:proofErr w:type="spellEnd"/>
      <w:r w:rsidRPr="00B13CF6">
        <w:rPr>
          <w:b w:val="0"/>
          <w:i/>
          <w:iCs/>
          <w:sz w:val="36"/>
          <w:szCs w:val="36"/>
          <w:lang w:val="fr-FR"/>
        </w:rPr>
        <w:t xml:space="preserve"> </w:t>
      </w:r>
      <w:proofErr w:type="spellStart"/>
      <w:r w:rsidRPr="00B13CF6">
        <w:rPr>
          <w:b w:val="0"/>
          <w:i/>
          <w:iCs/>
          <w:sz w:val="36"/>
          <w:szCs w:val="36"/>
          <w:lang w:val="fr-FR"/>
        </w:rPr>
        <w:t>subsp</w:t>
      </w:r>
      <w:proofErr w:type="spellEnd"/>
      <w:r w:rsidRPr="00B13CF6">
        <w:rPr>
          <w:b w:val="0"/>
          <w:i/>
          <w:iCs/>
          <w:sz w:val="36"/>
          <w:szCs w:val="36"/>
          <w:lang w:val="fr-FR"/>
        </w:rPr>
        <w:t xml:space="preserve">. </w:t>
      </w:r>
      <w:proofErr w:type="spellStart"/>
      <w:proofErr w:type="gramStart"/>
      <w:r>
        <w:rPr>
          <w:b w:val="0"/>
          <w:i/>
          <w:iCs/>
          <w:sz w:val="36"/>
          <w:szCs w:val="36"/>
          <w:lang w:val="fr-FR"/>
        </w:rPr>
        <w:t>s</w:t>
      </w:r>
      <w:r w:rsidRPr="00B13CF6">
        <w:rPr>
          <w:b w:val="0"/>
          <w:i/>
          <w:iCs/>
          <w:sz w:val="36"/>
          <w:szCs w:val="36"/>
          <w:lang w:val="fr-FR"/>
        </w:rPr>
        <w:t>ativa</w:t>
      </w:r>
      <w:proofErr w:type="spellEnd"/>
      <w:proofErr w:type="gramEnd"/>
      <w:r>
        <w:rPr>
          <w:b w:val="0"/>
          <w:i/>
          <w:iCs/>
          <w:sz w:val="36"/>
          <w:szCs w:val="36"/>
          <w:lang w:val="fr-FR"/>
        </w:rPr>
        <w:t>)</w:t>
      </w:r>
    </w:p>
    <w:p w:rsidR="00053FC2" w:rsidRDefault="00053FC2" w:rsidP="00053FC2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053FC2" w:rsidRDefault="00053FC2" w:rsidP="00053FC2">
      <w:pPr>
        <w:ind w:left="720"/>
        <w:rPr>
          <w:b/>
          <w:lang w:val="fr-CH"/>
        </w:rPr>
      </w:pPr>
    </w:p>
    <w:p w:rsidR="00683EF0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Plantes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>Cycle : bisannuelle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>Système reproducteur : allogame</w:t>
      </w:r>
    </w:p>
    <w:p w:rsidR="00973661" w:rsidRDefault="00A80585" w:rsidP="00973661">
      <w:pPr>
        <w:ind w:left="720"/>
        <w:rPr>
          <w:lang w:val="fr-CH"/>
        </w:rPr>
      </w:pPr>
      <w:r>
        <w:rPr>
          <w:lang w:val="fr-CH"/>
        </w:rPr>
        <w:t>Pollinisation : ento</w:t>
      </w:r>
      <w:r w:rsidR="00973661">
        <w:rPr>
          <w:lang w:val="fr-CH"/>
        </w:rPr>
        <w:t>mophile</w:t>
      </w:r>
    </w:p>
    <w:p w:rsidR="009D52DF" w:rsidRDefault="009D52DF" w:rsidP="00053FC2">
      <w:pPr>
        <w:rPr>
          <w:lang w:val="fr-CH"/>
        </w:rPr>
      </w:pPr>
    </w:p>
    <w:p w:rsidR="00053FC2" w:rsidRPr="00807F4F" w:rsidRDefault="00053FC2" w:rsidP="00053FC2">
      <w:pPr>
        <w:pStyle w:val="Paragraphedeliste"/>
        <w:numPr>
          <w:ilvl w:val="0"/>
          <w:numId w:val="15"/>
        </w:numPr>
        <w:rPr>
          <w:b/>
          <w:lang w:val="fr-CH"/>
        </w:rPr>
      </w:pPr>
      <w:r w:rsidRPr="00807F4F">
        <w:rPr>
          <w:b/>
          <w:lang w:val="fr-CH"/>
        </w:rPr>
        <w:t>Fumure</w:t>
      </w:r>
    </w:p>
    <w:p w:rsidR="00053FC2" w:rsidRDefault="00A25CF6" w:rsidP="00053FC2">
      <w:pPr>
        <w:ind w:left="720"/>
        <w:rPr>
          <w:lang w:val="fr-CH"/>
        </w:rPr>
      </w:pPr>
      <w:r>
        <w:rPr>
          <w:lang w:val="fr-CH"/>
        </w:rPr>
        <w:t>100 g / m</w:t>
      </w:r>
      <w:r w:rsidRPr="00110C44">
        <w:rPr>
          <w:vertAlign w:val="superscript"/>
          <w:lang w:val="fr-CH"/>
        </w:rPr>
        <w:t>2</w:t>
      </w:r>
      <w:r>
        <w:rPr>
          <w:lang w:val="fr-CH"/>
        </w:rPr>
        <w:t xml:space="preserve"> de </w:t>
      </w:r>
      <w:r w:rsidRPr="00110C44">
        <w:rPr>
          <w:lang w:val="fr-CH"/>
        </w:rPr>
        <w:t>Raclures de corne</w:t>
      </w:r>
      <w:r>
        <w:rPr>
          <w:lang w:val="fr-CH"/>
        </w:rPr>
        <w:t xml:space="preserve"> à la plantation.</w:t>
      </w:r>
    </w:p>
    <w:p w:rsidR="00807F4F" w:rsidRDefault="00807F4F" w:rsidP="00053FC2">
      <w:pPr>
        <w:ind w:left="720"/>
        <w:rPr>
          <w:lang w:val="fr-CH"/>
        </w:rPr>
      </w:pPr>
    </w:p>
    <w:p w:rsidR="0049569F" w:rsidRPr="00B16296" w:rsidRDefault="0049569F" w:rsidP="0049569F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Plantation</w:t>
      </w:r>
    </w:p>
    <w:p w:rsidR="0049569F" w:rsidRDefault="0049569F" w:rsidP="0049569F">
      <w:pPr>
        <w:ind w:left="720"/>
        <w:rPr>
          <w:vertAlign w:val="superscript"/>
          <w:lang w:val="fr-CH"/>
        </w:rPr>
      </w:pPr>
      <w:r>
        <w:rPr>
          <w:lang w:val="fr-CH"/>
        </w:rPr>
        <w:t>Densité : 2.4 à 3.2 plantes par m</w:t>
      </w:r>
      <w:r w:rsidRPr="00A01749">
        <w:rPr>
          <w:vertAlign w:val="superscript"/>
          <w:lang w:val="fr-CH"/>
        </w:rPr>
        <w:t>2</w:t>
      </w:r>
    </w:p>
    <w:p w:rsidR="0049569F" w:rsidRDefault="0049569F" w:rsidP="0049569F">
      <w:pPr>
        <w:ind w:left="720"/>
        <w:rPr>
          <w:lang w:val="fr-CH"/>
        </w:rPr>
      </w:pPr>
      <w:r>
        <w:rPr>
          <w:lang w:val="fr-CH"/>
        </w:rPr>
        <w:t>Largeur</w:t>
      </w:r>
      <w:r w:rsidRPr="00862CA5">
        <w:rPr>
          <w:lang w:val="fr-CH"/>
        </w:rPr>
        <w:t xml:space="preserve"> interligne : </w:t>
      </w:r>
      <w:r>
        <w:rPr>
          <w:lang w:val="fr-CH"/>
        </w:rPr>
        <w:t>0.5 à 0.7m</w:t>
      </w:r>
    </w:p>
    <w:p w:rsidR="0049569F" w:rsidRDefault="0049569F" w:rsidP="0049569F">
      <w:pPr>
        <w:ind w:left="720"/>
        <w:rPr>
          <w:lang w:val="fr-CH"/>
        </w:rPr>
      </w:pPr>
      <w:r>
        <w:rPr>
          <w:lang w:val="fr-CH"/>
        </w:rPr>
        <w:t xml:space="preserve">Densité linéaire: </w:t>
      </w:r>
      <w:r w:rsidR="00A25CF6">
        <w:rPr>
          <w:lang w:val="fr-CH"/>
        </w:rPr>
        <w:t>1 à 2</w:t>
      </w:r>
      <w:r>
        <w:rPr>
          <w:lang w:val="fr-CH"/>
        </w:rPr>
        <w:t xml:space="preserve"> plantes/mètre linéaire</w:t>
      </w:r>
    </w:p>
    <w:p w:rsidR="00A25CF6" w:rsidRDefault="00A25CF6" w:rsidP="0049569F">
      <w:pPr>
        <w:ind w:left="720"/>
        <w:rPr>
          <w:lang w:val="fr-CH"/>
        </w:rPr>
      </w:pPr>
      <w:r>
        <w:rPr>
          <w:lang w:val="fr-CH"/>
        </w:rPr>
        <w:t>Distance sur le rang : 60 cm</w:t>
      </w:r>
    </w:p>
    <w:p w:rsidR="0049569F" w:rsidRPr="00053FC2" w:rsidRDefault="0049569F" w:rsidP="00053FC2">
      <w:pPr>
        <w:ind w:left="720"/>
        <w:rPr>
          <w:lang w:val="fr-CH"/>
        </w:rPr>
      </w:pPr>
    </w:p>
    <w:p w:rsidR="00973661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Culture</w:t>
      </w:r>
    </w:p>
    <w:p w:rsidR="005657D4" w:rsidRDefault="00745847" w:rsidP="00745847">
      <w:pPr>
        <w:ind w:left="720"/>
        <w:rPr>
          <w:lang w:val="fr-CH"/>
        </w:rPr>
      </w:pPr>
      <w:r>
        <w:rPr>
          <w:lang w:val="fr-CH"/>
        </w:rPr>
        <w:t xml:space="preserve">Poids de mille grains : </w:t>
      </w:r>
      <w:r w:rsidR="00A25CF6">
        <w:rPr>
          <w:lang w:val="fr-CH"/>
        </w:rPr>
        <w:t>1</w:t>
      </w:r>
      <w:r w:rsidR="00A73F76">
        <w:rPr>
          <w:lang w:val="fr-CH"/>
        </w:rPr>
        <w:t xml:space="preserve"> </w:t>
      </w:r>
      <w:r w:rsidR="003F06B5">
        <w:rPr>
          <w:lang w:val="fr-CH"/>
        </w:rPr>
        <w:t>g</w:t>
      </w:r>
      <w:r w:rsidR="00FA4346">
        <w:rPr>
          <w:lang w:val="fr-CH"/>
        </w:rPr>
        <w:t xml:space="preserve"> </w:t>
      </w:r>
    </w:p>
    <w:p w:rsidR="00A01749" w:rsidRDefault="0044422B" w:rsidP="00745847">
      <w:pPr>
        <w:ind w:left="720"/>
        <w:rPr>
          <w:lang w:val="fr-CH"/>
        </w:rPr>
      </w:pPr>
      <w:r>
        <w:rPr>
          <w:lang w:val="fr-CH"/>
        </w:rPr>
        <w:t>Plantes</w:t>
      </w:r>
      <w:r w:rsidR="00973661">
        <w:rPr>
          <w:lang w:val="fr-CH"/>
        </w:rPr>
        <w:t xml:space="preserve"> par variété</w:t>
      </w:r>
      <w:r>
        <w:rPr>
          <w:lang w:val="fr-CH"/>
        </w:rPr>
        <w:t xml:space="preserve"> : </w:t>
      </w:r>
      <w:r w:rsidR="006F6179">
        <w:rPr>
          <w:lang w:val="fr-CH"/>
        </w:rPr>
        <w:t>40</w:t>
      </w:r>
      <w:r w:rsidR="00A25CF6">
        <w:rPr>
          <w:lang w:val="fr-CH"/>
        </w:rPr>
        <w:t xml:space="preserve"> - 60</w:t>
      </w:r>
      <w:r w:rsidR="006F6179">
        <w:rPr>
          <w:lang w:val="fr-CH"/>
        </w:rPr>
        <w:t xml:space="preserve"> </w:t>
      </w:r>
    </w:p>
    <w:p w:rsidR="00745847" w:rsidRPr="00A01749" w:rsidRDefault="00745847" w:rsidP="00745847">
      <w:pPr>
        <w:ind w:left="720"/>
        <w:rPr>
          <w:u w:val="single"/>
          <w:lang w:val="fr-CH"/>
        </w:rPr>
      </w:pPr>
      <w:r w:rsidRPr="00A01749">
        <w:rPr>
          <w:u w:val="single"/>
          <w:lang w:val="fr-CH"/>
        </w:rPr>
        <w:t>Stade</w:t>
      </w:r>
      <w:r w:rsidR="00A01749" w:rsidRPr="00A01749">
        <w:rPr>
          <w:u w:val="single"/>
          <w:lang w:val="fr-CH"/>
        </w:rPr>
        <w:t>s</w:t>
      </w:r>
      <w:r w:rsidRPr="00A01749">
        <w:rPr>
          <w:u w:val="single"/>
          <w:lang w:val="fr-CH"/>
        </w:rPr>
        <w:t xml:space="preserve"> phénologiques</w:t>
      </w:r>
    </w:p>
    <w:p w:rsidR="00A01749" w:rsidRDefault="00A01749" w:rsidP="00745847">
      <w:pPr>
        <w:ind w:left="720"/>
        <w:rPr>
          <w:lang w:val="fr-CH"/>
        </w:rPr>
      </w:pPr>
      <w:r>
        <w:rPr>
          <w:lang w:val="fr-CH"/>
        </w:rPr>
        <w:t>Semis</w:t>
      </w:r>
      <w:r w:rsidR="00034AB9">
        <w:rPr>
          <w:lang w:val="fr-CH"/>
        </w:rPr>
        <w:t xml:space="preserve"> direct</w:t>
      </w:r>
      <w:r>
        <w:rPr>
          <w:lang w:val="fr-CH"/>
        </w:rPr>
        <w:t xml:space="preserve"> : </w:t>
      </w:r>
      <w:r w:rsidR="00807F4F">
        <w:rPr>
          <w:lang w:val="fr-CH"/>
        </w:rPr>
        <w:t>15 mai à 15 juin (3 semaines</w:t>
      </w:r>
      <w:r w:rsidR="00A25CF6">
        <w:rPr>
          <w:lang w:val="fr-CH"/>
        </w:rPr>
        <w:t xml:space="preserve"> pour germer)</w:t>
      </w:r>
    </w:p>
    <w:p w:rsidR="004D2ACC" w:rsidRDefault="004D2ACC" w:rsidP="00745847">
      <w:pPr>
        <w:ind w:left="720"/>
        <w:rPr>
          <w:lang w:val="fr-CH"/>
        </w:rPr>
      </w:pPr>
      <w:r>
        <w:rPr>
          <w:lang w:val="fr-CH"/>
        </w:rPr>
        <w:t>Profondeur du semis : 0</w:t>
      </w:r>
      <w:r w:rsidR="00053FC2">
        <w:rPr>
          <w:lang w:val="fr-CH"/>
        </w:rPr>
        <w:t>,</w:t>
      </w:r>
      <w:r>
        <w:rPr>
          <w:lang w:val="fr-CH"/>
        </w:rPr>
        <w:t>5 à 2cm</w:t>
      </w:r>
    </w:p>
    <w:p w:rsidR="00311BCE" w:rsidRDefault="00A01749" w:rsidP="000E47AE">
      <w:pPr>
        <w:autoSpaceDE w:val="0"/>
        <w:autoSpaceDN w:val="0"/>
        <w:adjustRightInd w:val="0"/>
        <w:spacing w:line="240" w:lineRule="auto"/>
        <w:ind w:left="709" w:firstLine="11"/>
        <w:rPr>
          <w:lang w:val="fr-CH"/>
        </w:rPr>
      </w:pPr>
      <w:r>
        <w:rPr>
          <w:lang w:val="fr-CH"/>
        </w:rPr>
        <w:t xml:space="preserve">Hivernage : </w:t>
      </w:r>
      <w:r w:rsidR="003F06B5" w:rsidRPr="003F06B5">
        <w:rPr>
          <w:lang w:val="fr-CH"/>
        </w:rPr>
        <w:t xml:space="preserve"> une culture </w:t>
      </w:r>
      <w:r w:rsidR="003F06B5">
        <w:rPr>
          <w:lang w:val="fr-CH"/>
        </w:rPr>
        <w:t xml:space="preserve">correctement implantée résiste </w:t>
      </w:r>
      <w:r w:rsidR="003F06B5" w:rsidRPr="003F06B5">
        <w:rPr>
          <w:lang w:val="fr-CH"/>
        </w:rPr>
        <w:t xml:space="preserve">sans trop de dégâts </w:t>
      </w:r>
      <w:r w:rsidR="003F06B5">
        <w:rPr>
          <w:lang w:val="fr-CH"/>
        </w:rPr>
        <w:t>à -1</w:t>
      </w:r>
      <w:r w:rsidR="0015330F">
        <w:rPr>
          <w:lang w:val="fr-CH"/>
        </w:rPr>
        <w:t>0</w:t>
      </w:r>
      <w:r w:rsidR="003F06B5">
        <w:rPr>
          <w:lang w:val="fr-CH"/>
        </w:rPr>
        <w:t>°C.</w:t>
      </w:r>
      <w:r w:rsidR="0015330F">
        <w:rPr>
          <w:lang w:val="fr-CH"/>
        </w:rPr>
        <w:t xml:space="preserve"> Recouvrir le collet avant l’hiver par un léger buttage, protéger </w:t>
      </w:r>
      <w:r w:rsidR="000E47AE">
        <w:rPr>
          <w:lang w:val="fr-CH"/>
        </w:rPr>
        <w:t>avec</w:t>
      </w:r>
      <w:r w:rsidR="0015330F">
        <w:rPr>
          <w:lang w:val="fr-CH"/>
        </w:rPr>
        <w:t xml:space="preserve"> </w:t>
      </w:r>
      <w:r w:rsidR="000E47AE">
        <w:rPr>
          <w:lang w:val="fr-CH"/>
        </w:rPr>
        <w:t>un voile d’hivernage non-tissé</w:t>
      </w:r>
      <w:r w:rsidR="0015330F">
        <w:rPr>
          <w:lang w:val="fr-CH"/>
        </w:rPr>
        <w:t xml:space="preserve">. </w:t>
      </w:r>
      <w:r w:rsidR="000E47AE">
        <w:rPr>
          <w:lang w:val="fr-CH"/>
        </w:rPr>
        <w:t xml:space="preserve">          </w:t>
      </w:r>
      <w:r w:rsidR="00311BCE">
        <w:rPr>
          <w:lang w:val="fr-CH"/>
        </w:rPr>
        <w:t xml:space="preserve">                 </w:t>
      </w:r>
    </w:p>
    <w:p w:rsidR="00F24971" w:rsidRDefault="00034AB9" w:rsidP="00F24971">
      <w:pPr>
        <w:ind w:left="720"/>
        <w:rPr>
          <w:lang w:val="fr-CH"/>
        </w:rPr>
      </w:pPr>
      <w:r>
        <w:rPr>
          <w:lang w:val="fr-CH"/>
        </w:rPr>
        <w:t>Floraison : mai à juin</w:t>
      </w:r>
      <w:r w:rsidR="00F24971">
        <w:rPr>
          <w:lang w:val="fr-CH"/>
        </w:rPr>
        <w:t xml:space="preserve"> (Remarque : attention à la verse (attacher avant la floraison))</w:t>
      </w:r>
    </w:p>
    <w:p w:rsidR="00A01749" w:rsidRDefault="00034AB9" w:rsidP="00745847">
      <w:pPr>
        <w:ind w:left="720"/>
        <w:rPr>
          <w:lang w:val="fr-CH"/>
        </w:rPr>
      </w:pPr>
      <w:r>
        <w:rPr>
          <w:lang w:val="fr-CH"/>
        </w:rPr>
        <w:t>Maturation</w:t>
      </w:r>
      <w:r w:rsidR="00A01749">
        <w:rPr>
          <w:lang w:val="fr-CH"/>
        </w:rPr>
        <w:t xml:space="preserve"> : </w:t>
      </w:r>
      <w:r>
        <w:rPr>
          <w:lang w:val="fr-CH"/>
        </w:rPr>
        <w:t>juillet-août</w:t>
      </w:r>
    </w:p>
    <w:p w:rsidR="00A01749" w:rsidRDefault="00A01749" w:rsidP="00745847">
      <w:pPr>
        <w:ind w:left="720"/>
        <w:rPr>
          <w:lang w:val="fr-CH"/>
        </w:rPr>
      </w:pPr>
      <w:r>
        <w:rPr>
          <w:lang w:val="fr-CH"/>
        </w:rPr>
        <w:t xml:space="preserve">Récolte : </w:t>
      </w:r>
      <w:r w:rsidR="00034AB9">
        <w:rPr>
          <w:lang w:val="fr-CH"/>
        </w:rPr>
        <w:t>fin juillet-août</w:t>
      </w:r>
      <w:r w:rsidR="009D52DF">
        <w:rPr>
          <w:lang w:val="fr-CH"/>
        </w:rPr>
        <w:t>- septembre</w:t>
      </w:r>
    </w:p>
    <w:p w:rsidR="004D2ACC" w:rsidRDefault="004D2ACC" w:rsidP="0065497F">
      <w:pPr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Maladies, Ravageurs</w:t>
      </w:r>
    </w:p>
    <w:p w:rsidR="0065497F" w:rsidRPr="00053FC2" w:rsidRDefault="00C1231C" w:rsidP="00053FC2">
      <w:pPr>
        <w:ind w:left="11" w:firstLine="698"/>
        <w:rPr>
          <w:lang w:val="fr-CH"/>
        </w:rPr>
      </w:pPr>
      <w:r>
        <w:rPr>
          <w:lang w:val="fr-CH"/>
        </w:rPr>
        <w:t>Les ravageurs</w:t>
      </w:r>
      <w:r w:rsidR="00A25CF6">
        <w:rPr>
          <w:lang w:val="fr-CH"/>
        </w:rPr>
        <w:t> :</w:t>
      </w:r>
      <w:r w:rsidR="0065497F" w:rsidRPr="00053FC2">
        <w:rPr>
          <w:lang w:val="fr-CH"/>
        </w:rPr>
        <w:t xml:space="preserve"> limaces, pucerons</w:t>
      </w:r>
      <w:r w:rsidR="00053FC2" w:rsidRPr="00053FC2">
        <w:rPr>
          <w:lang w:val="fr-CH"/>
        </w:rPr>
        <w:t xml:space="preserve"> et </w:t>
      </w:r>
      <w:r w:rsidR="0065497F" w:rsidRPr="00A25CF6">
        <w:rPr>
          <w:b/>
          <w:lang w:val="fr-CH"/>
        </w:rPr>
        <w:t>campagnols</w:t>
      </w:r>
    </w:p>
    <w:p w:rsidR="004D2ACC" w:rsidRDefault="00A25CF6" w:rsidP="00053FC2">
      <w:pPr>
        <w:ind w:firstLine="709"/>
        <w:rPr>
          <w:lang w:val="fr-CH"/>
        </w:rPr>
      </w:pPr>
      <w:r w:rsidRPr="0065497F">
        <w:rPr>
          <w:lang w:val="fr-CH"/>
        </w:rPr>
        <w:t>Traitements</w:t>
      </w:r>
      <w:r w:rsidR="00A01749" w:rsidRPr="0065497F">
        <w:rPr>
          <w:lang w:val="fr-CH"/>
        </w:rPr>
        <w:t xml:space="preserve"> </w:t>
      </w:r>
      <w:r w:rsidR="00973661" w:rsidRPr="0065497F">
        <w:rPr>
          <w:lang w:val="fr-CH"/>
        </w:rPr>
        <w:t>selon observations</w:t>
      </w:r>
      <w:r w:rsidR="00A01749" w:rsidRPr="0065497F">
        <w:rPr>
          <w:lang w:val="fr-CH"/>
        </w:rPr>
        <w:t>.</w:t>
      </w:r>
    </w:p>
    <w:p w:rsidR="004D2ACC" w:rsidRDefault="004D2ACC" w:rsidP="00A01749">
      <w:pPr>
        <w:ind w:left="720"/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Récolte</w:t>
      </w:r>
    </w:p>
    <w:p w:rsidR="001D3802" w:rsidRPr="001D3802" w:rsidRDefault="005F26B3" w:rsidP="001D3802">
      <w:pPr>
        <w:ind w:left="720"/>
        <w:rPr>
          <w:lang w:val="fr-CH"/>
        </w:rPr>
      </w:pPr>
      <w:r>
        <w:rPr>
          <w:lang w:val="fr-CH"/>
        </w:rPr>
        <w:t>L</w:t>
      </w:r>
      <w:r w:rsidR="004D2ACC">
        <w:rPr>
          <w:lang w:val="fr-CH"/>
        </w:rPr>
        <w:t xml:space="preserve">a maturité est progressive et </w:t>
      </w:r>
      <w:r w:rsidR="00356B3E">
        <w:rPr>
          <w:lang w:val="fr-CH"/>
        </w:rPr>
        <w:t>irrégulière</w:t>
      </w:r>
      <w:r w:rsidR="004D2ACC">
        <w:rPr>
          <w:lang w:val="fr-CH"/>
        </w:rPr>
        <w:t xml:space="preserve"> au sein de la culture. </w:t>
      </w:r>
      <w:r>
        <w:rPr>
          <w:lang w:val="fr-CH"/>
        </w:rPr>
        <w:t>L</w:t>
      </w:r>
      <w:r w:rsidR="004D2ACC">
        <w:rPr>
          <w:lang w:val="fr-CH"/>
        </w:rPr>
        <w:t>es ombelles primaires</w:t>
      </w:r>
      <w:r w:rsidR="00356B3E">
        <w:rPr>
          <w:lang w:val="fr-CH"/>
        </w:rPr>
        <w:t xml:space="preserve"> </w:t>
      </w:r>
      <w:r>
        <w:rPr>
          <w:lang w:val="fr-CH"/>
        </w:rPr>
        <w:t>murissent en première</w:t>
      </w:r>
      <w:r w:rsidR="00356B3E">
        <w:rPr>
          <w:lang w:val="fr-CH"/>
        </w:rPr>
        <w:t xml:space="preserve">, les secondaires </w:t>
      </w:r>
      <w:r>
        <w:rPr>
          <w:lang w:val="fr-CH"/>
        </w:rPr>
        <w:t xml:space="preserve">suivent et au bout d’un certain temps les </w:t>
      </w:r>
      <w:r w:rsidR="00356B3E">
        <w:rPr>
          <w:lang w:val="fr-CH"/>
        </w:rPr>
        <w:t>tertiaires</w:t>
      </w:r>
      <w:r>
        <w:rPr>
          <w:lang w:val="fr-CH"/>
        </w:rPr>
        <w:t xml:space="preserve">. </w:t>
      </w:r>
      <w:r w:rsidR="001D3802">
        <w:rPr>
          <w:lang w:val="fr-CH"/>
        </w:rPr>
        <w:t>La</w:t>
      </w:r>
      <w:r w:rsidR="001D3802" w:rsidRPr="001D3802">
        <w:rPr>
          <w:lang w:val="fr-CH"/>
        </w:rPr>
        <w:t xml:space="preserve"> récolte </w:t>
      </w:r>
      <w:r w:rsidR="001D3802">
        <w:rPr>
          <w:lang w:val="fr-CH"/>
        </w:rPr>
        <w:t xml:space="preserve">des ombelles se fait </w:t>
      </w:r>
      <w:r w:rsidR="00053FC2">
        <w:rPr>
          <w:lang w:val="fr-CH"/>
        </w:rPr>
        <w:t>à la main, quand tige et ombelle brun-jaune; passer tous les 2 jours</w:t>
      </w:r>
    </w:p>
    <w:p w:rsidR="001D3802" w:rsidRDefault="001D3802" w:rsidP="00A01749">
      <w:pPr>
        <w:ind w:left="720"/>
        <w:rPr>
          <w:lang w:val="fr-CH"/>
        </w:rPr>
      </w:pPr>
    </w:p>
    <w:p w:rsidR="00745847" w:rsidRPr="00B16296" w:rsidRDefault="00862CA5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Séchage</w:t>
      </w:r>
      <w:r w:rsidR="00745847" w:rsidRPr="00B16296">
        <w:rPr>
          <w:b/>
          <w:lang w:val="fr-CH"/>
        </w:rPr>
        <w:t>, Battage</w:t>
      </w:r>
      <w:r w:rsidR="006F5C75" w:rsidRPr="00B16296">
        <w:rPr>
          <w:b/>
          <w:lang w:val="fr-CH"/>
        </w:rPr>
        <w:t>, Triage</w:t>
      </w:r>
    </w:p>
    <w:p w:rsidR="001D3802" w:rsidRDefault="00862CA5" w:rsidP="001D3802">
      <w:pPr>
        <w:pStyle w:val="Paragraphedeliste"/>
        <w:numPr>
          <w:ilvl w:val="0"/>
          <w:numId w:val="16"/>
        </w:numPr>
        <w:rPr>
          <w:lang w:val="fr-CH"/>
        </w:rPr>
      </w:pPr>
      <w:r w:rsidRPr="001D3802">
        <w:rPr>
          <w:lang w:val="fr-CH"/>
        </w:rPr>
        <w:t xml:space="preserve">Séchage pendant 3 semaines </w:t>
      </w:r>
    </w:p>
    <w:p w:rsidR="006F5C75" w:rsidRDefault="00862CA5" w:rsidP="001D3802">
      <w:pPr>
        <w:pStyle w:val="Paragraphedeliste"/>
        <w:numPr>
          <w:ilvl w:val="0"/>
          <w:numId w:val="16"/>
        </w:numPr>
        <w:rPr>
          <w:lang w:val="fr-CH"/>
        </w:rPr>
      </w:pPr>
      <w:r w:rsidRPr="001D3802">
        <w:rPr>
          <w:lang w:val="fr-CH"/>
        </w:rPr>
        <w:t>Triage</w:t>
      </w:r>
      <w:r w:rsidR="006F5C75" w:rsidRPr="001D3802">
        <w:rPr>
          <w:lang w:val="fr-CH"/>
        </w:rPr>
        <w:t xml:space="preserve"> : nettoyer le lot. </w:t>
      </w:r>
      <w:r w:rsidRPr="001D3802">
        <w:rPr>
          <w:lang w:val="fr-CH"/>
        </w:rPr>
        <w:t xml:space="preserve"> </w:t>
      </w:r>
    </w:p>
    <w:p w:rsidR="001D3802" w:rsidRPr="001D3802" w:rsidRDefault="001D3802" w:rsidP="001D3802">
      <w:pPr>
        <w:pStyle w:val="Paragraphedeliste"/>
        <w:ind w:left="1440"/>
        <w:rPr>
          <w:lang w:val="fr-CH"/>
        </w:rPr>
      </w:pPr>
    </w:p>
    <w:p w:rsidR="00053FC2" w:rsidRDefault="00053FC2" w:rsidP="00053FC2">
      <w:pPr>
        <w:ind w:left="720"/>
        <w:rPr>
          <w:b/>
          <w:lang w:val="fr-CH"/>
        </w:rPr>
      </w:pPr>
    </w:p>
    <w:p w:rsidR="00745847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Rendement et qualité</w:t>
      </w:r>
    </w:p>
    <w:p w:rsidR="00053FC2" w:rsidRPr="00053FC2" w:rsidRDefault="00053FC2" w:rsidP="00053FC2">
      <w:pPr>
        <w:pStyle w:val="Paragraphedeliste"/>
        <w:rPr>
          <w:lang w:val="fr-CH"/>
        </w:rPr>
      </w:pPr>
      <w:r>
        <w:rPr>
          <w:lang w:val="fr-CH"/>
        </w:rPr>
        <w:t xml:space="preserve">Le rendement </w:t>
      </w:r>
      <w:r w:rsidR="00A25CF6">
        <w:rPr>
          <w:lang w:val="fr-CH"/>
        </w:rPr>
        <w:t>est</w:t>
      </w:r>
      <w:r>
        <w:rPr>
          <w:lang w:val="fr-CH"/>
        </w:rPr>
        <w:t xml:space="preserve"> </w:t>
      </w:r>
      <w:r w:rsidR="00A25CF6">
        <w:rPr>
          <w:lang w:val="fr-CH"/>
        </w:rPr>
        <w:t>1 kg /m</w:t>
      </w:r>
      <w:r w:rsidR="00A25CF6" w:rsidRPr="00A25CF6">
        <w:rPr>
          <w:vertAlign w:val="superscript"/>
          <w:lang w:val="fr-CH"/>
        </w:rPr>
        <w:t>2</w:t>
      </w:r>
      <w:r w:rsidR="00A25CF6">
        <w:rPr>
          <w:lang w:val="fr-CH"/>
        </w:rPr>
        <w:t xml:space="preserve"> </w:t>
      </w:r>
    </w:p>
    <w:p w:rsidR="00C65390" w:rsidRPr="00C65390" w:rsidRDefault="00C65390" w:rsidP="00C65390">
      <w:pPr>
        <w:pStyle w:val="Paragraphedeliste"/>
        <w:rPr>
          <w:lang w:val="fr-CH"/>
        </w:rPr>
      </w:pPr>
      <w:r w:rsidRPr="00C65390">
        <w:rPr>
          <w:lang w:val="fr-CH"/>
        </w:rPr>
        <w:lastRenderedPageBreak/>
        <w:t xml:space="preserve">Taux de germination doit être supérieur à </w:t>
      </w:r>
      <w:r w:rsidR="009D52DF">
        <w:rPr>
          <w:lang w:val="fr-CH"/>
        </w:rPr>
        <w:t>85</w:t>
      </w:r>
      <w:r w:rsidRPr="00C65390">
        <w:rPr>
          <w:lang w:val="fr-CH"/>
        </w:rPr>
        <w:t xml:space="preserve">%. </w:t>
      </w:r>
    </w:p>
    <w:p w:rsidR="0065497F" w:rsidRDefault="0065497F" w:rsidP="0065497F">
      <w:pPr>
        <w:ind w:left="720"/>
        <w:rPr>
          <w:lang w:val="fr-CH"/>
        </w:rPr>
      </w:pPr>
    </w:p>
    <w:p w:rsidR="009D52DF" w:rsidRDefault="009D52DF" w:rsidP="009D52DF">
      <w:pPr>
        <w:pStyle w:val="Paragraphedeliste"/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 xml:space="preserve">Stockage en chambre froide </w:t>
      </w:r>
    </w:p>
    <w:p w:rsidR="009D52DF" w:rsidRPr="00233448" w:rsidRDefault="009D52DF" w:rsidP="009D52DF">
      <w:pPr>
        <w:pStyle w:val="Paragraphedeliste"/>
        <w:numPr>
          <w:ilvl w:val="0"/>
          <w:numId w:val="22"/>
        </w:numPr>
        <w:rPr>
          <w:lang w:val="fr-CH"/>
        </w:rPr>
      </w:pPr>
      <w:r w:rsidRPr="006171B3">
        <w:rPr>
          <w:lang w:val="fr-CH"/>
        </w:rPr>
        <w:t>Nombres de graines</w:t>
      </w:r>
      <w:r>
        <w:rPr>
          <w:lang w:val="fr-CH"/>
        </w:rPr>
        <w:t> :</w:t>
      </w:r>
      <w:r w:rsidRPr="006171B3">
        <w:rPr>
          <w:lang w:val="fr-CH"/>
        </w:rPr>
        <w:t xml:space="preserve"> </w:t>
      </w:r>
      <w:r>
        <w:rPr>
          <w:lang w:val="fr-CH"/>
        </w:rPr>
        <w:t>3</w:t>
      </w:r>
      <w:r w:rsidRPr="006171B3">
        <w:rPr>
          <w:lang w:val="fr-CH"/>
        </w:rPr>
        <w:t xml:space="preserve">000 </w:t>
      </w:r>
    </w:p>
    <w:p w:rsidR="009D52DF" w:rsidRPr="006171B3" w:rsidRDefault="009D52DF" w:rsidP="009D52DF">
      <w:pPr>
        <w:pStyle w:val="Paragraphedeliste"/>
        <w:numPr>
          <w:ilvl w:val="0"/>
          <w:numId w:val="17"/>
        </w:numPr>
        <w:rPr>
          <w:lang w:val="fr-CH"/>
        </w:rPr>
      </w:pPr>
      <w:r>
        <w:rPr>
          <w:lang w:val="fr-CH"/>
        </w:rPr>
        <w:t>Quantité de semences :</w:t>
      </w:r>
      <w:r w:rsidRPr="006171B3">
        <w:rPr>
          <w:lang w:val="fr-CH"/>
        </w:rPr>
        <w:t xml:space="preserve"> </w:t>
      </w:r>
      <w:r>
        <w:rPr>
          <w:lang w:val="fr-CH"/>
        </w:rPr>
        <w:t>3 sachet</w:t>
      </w:r>
      <w:r w:rsidRPr="006171B3">
        <w:rPr>
          <w:lang w:val="fr-CH"/>
        </w:rPr>
        <w:t xml:space="preserve"> en papier</w:t>
      </w:r>
      <w:r>
        <w:rPr>
          <w:lang w:val="fr-CH"/>
        </w:rPr>
        <w:t xml:space="preserve"> de 1000 graines</w:t>
      </w:r>
    </w:p>
    <w:p w:rsidR="009D52DF" w:rsidRPr="006171B3" w:rsidRDefault="009D52DF" w:rsidP="009D52DF">
      <w:pPr>
        <w:pStyle w:val="Paragraphedeliste"/>
        <w:numPr>
          <w:ilvl w:val="0"/>
          <w:numId w:val="17"/>
        </w:numPr>
        <w:rPr>
          <w:lang w:val="fr-CH"/>
        </w:rPr>
      </w:pPr>
      <w:r>
        <w:rPr>
          <w:lang w:val="fr-CH"/>
        </w:rPr>
        <w:t>M</w:t>
      </w:r>
      <w:r w:rsidRPr="006171B3">
        <w:rPr>
          <w:lang w:val="fr-CH"/>
        </w:rPr>
        <w:t xml:space="preserve">ise en caisse et placer en chambre froide </w:t>
      </w:r>
    </w:p>
    <w:p w:rsidR="009D52DF" w:rsidRPr="00E01E27" w:rsidRDefault="009D52DF" w:rsidP="009D52DF">
      <w:pPr>
        <w:ind w:left="720"/>
        <w:rPr>
          <w:lang w:val="fr-CH"/>
        </w:rPr>
      </w:pPr>
      <w:r w:rsidRPr="00E17BDD">
        <w:rPr>
          <w:lang w:val="fr-CH"/>
        </w:rPr>
        <w:t>Remarque : Mise en chambre froide</w:t>
      </w:r>
      <w:r>
        <w:rPr>
          <w:lang w:val="fr-CH"/>
        </w:rPr>
        <w:t xml:space="preserve"> </w:t>
      </w:r>
      <w:r w:rsidRPr="00E17BDD">
        <w:rPr>
          <w:lang w:val="fr-CH"/>
        </w:rPr>
        <w:t>après</w:t>
      </w:r>
      <w:r>
        <w:rPr>
          <w:lang w:val="fr-CH"/>
        </w:rPr>
        <w:t xml:space="preserve"> le</w:t>
      </w:r>
      <w:r w:rsidRPr="00E17BDD">
        <w:rPr>
          <w:lang w:val="fr-CH"/>
        </w:rPr>
        <w:t xml:space="preserve"> battage</w:t>
      </w:r>
      <w:r>
        <w:rPr>
          <w:lang w:val="fr-CH"/>
        </w:rPr>
        <w:t xml:space="preserve"> et le résultat du test de germination</w:t>
      </w:r>
    </w:p>
    <w:p w:rsidR="009D52DF" w:rsidRDefault="009D52DF" w:rsidP="009D52DF">
      <w:pPr>
        <w:rPr>
          <w:b/>
          <w:lang w:val="fr-CH"/>
        </w:rPr>
      </w:pPr>
    </w:p>
    <w:p w:rsidR="009D52DF" w:rsidRDefault="009D52DF" w:rsidP="009D52DF">
      <w:pPr>
        <w:pStyle w:val="Paragraphedeliste"/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 xml:space="preserve">Stockage au congélateur </w:t>
      </w:r>
    </w:p>
    <w:p w:rsidR="009D52DF" w:rsidRPr="00233448" w:rsidRDefault="009D52DF" w:rsidP="009D52DF">
      <w:pPr>
        <w:pStyle w:val="Paragraphedeliste"/>
        <w:numPr>
          <w:ilvl w:val="0"/>
          <w:numId w:val="23"/>
        </w:numPr>
        <w:rPr>
          <w:lang w:val="fr-CH"/>
        </w:rPr>
      </w:pPr>
      <w:r w:rsidRPr="006171B3">
        <w:rPr>
          <w:lang w:val="fr-CH"/>
        </w:rPr>
        <w:t>Nombres de graines</w:t>
      </w:r>
      <w:r>
        <w:rPr>
          <w:lang w:val="fr-CH"/>
        </w:rPr>
        <w:t> : 3</w:t>
      </w:r>
      <w:r w:rsidR="00053FC2">
        <w:rPr>
          <w:lang w:val="fr-CH"/>
        </w:rPr>
        <w:t>000</w:t>
      </w:r>
      <w:r>
        <w:rPr>
          <w:lang w:val="fr-CH"/>
        </w:rPr>
        <w:t xml:space="preserve"> graines</w:t>
      </w:r>
    </w:p>
    <w:p w:rsidR="009D52DF" w:rsidRDefault="009D52DF" w:rsidP="009D52DF">
      <w:pPr>
        <w:ind w:left="720"/>
        <w:rPr>
          <w:lang w:val="fr-CH"/>
        </w:rPr>
      </w:pPr>
      <w:r w:rsidRPr="00233448">
        <w:rPr>
          <w:lang w:val="fr-CH"/>
        </w:rPr>
        <w:t>Dessiccation physique des graines</w:t>
      </w:r>
      <w:r>
        <w:rPr>
          <w:lang w:val="fr-CH"/>
        </w:rPr>
        <w:t> :</w:t>
      </w:r>
    </w:p>
    <w:p w:rsidR="009D52DF" w:rsidRPr="00E01E27" w:rsidRDefault="009D52DF" w:rsidP="009D52DF">
      <w:pPr>
        <w:pStyle w:val="Paragraphedeliste"/>
        <w:numPr>
          <w:ilvl w:val="0"/>
          <w:numId w:val="21"/>
        </w:numPr>
        <w:rPr>
          <w:lang w:val="fr-CH"/>
        </w:rPr>
      </w:pPr>
      <w:r w:rsidRPr="00E01E27">
        <w:rPr>
          <w:lang w:val="fr-CH"/>
        </w:rPr>
        <w:t xml:space="preserve">La durée </w:t>
      </w:r>
      <w:r>
        <w:rPr>
          <w:lang w:val="fr-CH"/>
        </w:rPr>
        <w:t xml:space="preserve">est de </w:t>
      </w:r>
      <w:r w:rsidRPr="00E01E27">
        <w:rPr>
          <w:lang w:val="fr-CH"/>
        </w:rPr>
        <w:t xml:space="preserve">20 jours pour </w:t>
      </w:r>
      <w:r>
        <w:rPr>
          <w:lang w:val="fr-CH"/>
        </w:rPr>
        <w:t>atteindre</w:t>
      </w:r>
      <w:r w:rsidRPr="00E01E27">
        <w:rPr>
          <w:lang w:val="fr-CH"/>
        </w:rPr>
        <w:t xml:space="preserve"> </w:t>
      </w:r>
      <w:r>
        <w:rPr>
          <w:lang w:val="fr-CH"/>
        </w:rPr>
        <w:t>&lt;</w:t>
      </w:r>
      <w:r w:rsidRPr="00E01E27">
        <w:rPr>
          <w:lang w:val="fr-CH"/>
        </w:rPr>
        <w:t xml:space="preserve"> 6% d’humidité </w:t>
      </w:r>
    </w:p>
    <w:p w:rsidR="009D52DF" w:rsidRDefault="009D52DF" w:rsidP="009D52DF">
      <w:pPr>
        <w:ind w:left="720"/>
        <w:rPr>
          <w:lang w:val="fr-CH"/>
        </w:rPr>
      </w:pPr>
      <w:r>
        <w:rPr>
          <w:lang w:val="fr-CH"/>
        </w:rPr>
        <w:t>Conditionnement des lots :</w:t>
      </w:r>
    </w:p>
    <w:p w:rsidR="009D52DF" w:rsidRDefault="009D52DF" w:rsidP="009D52DF">
      <w:pPr>
        <w:pStyle w:val="Paragraphedeliste"/>
        <w:numPr>
          <w:ilvl w:val="0"/>
          <w:numId w:val="18"/>
        </w:numPr>
        <w:rPr>
          <w:lang w:val="fr-CH"/>
        </w:rPr>
      </w:pPr>
      <w:r>
        <w:rPr>
          <w:lang w:val="fr-CH"/>
        </w:rPr>
        <w:t>Nombres de sachets</w:t>
      </w:r>
      <w:r w:rsidRPr="00E668C9">
        <w:rPr>
          <w:lang w:val="fr-CH"/>
        </w:rPr>
        <w:t xml:space="preserve"> en alu</w:t>
      </w:r>
      <w:r>
        <w:rPr>
          <w:lang w:val="fr-CH"/>
        </w:rPr>
        <w:t> :</w:t>
      </w:r>
      <w:r w:rsidRPr="00E668C9">
        <w:rPr>
          <w:lang w:val="fr-CH"/>
        </w:rPr>
        <w:t xml:space="preserve"> </w:t>
      </w:r>
      <w:r>
        <w:rPr>
          <w:lang w:val="fr-CH"/>
        </w:rPr>
        <w:t>3 x 1000 graines, 3 x 100 graines et 3 x 120 graines</w:t>
      </w:r>
    </w:p>
    <w:p w:rsidR="009D52DF" w:rsidRPr="00E17BDD" w:rsidRDefault="009D52DF" w:rsidP="009D52DF">
      <w:pPr>
        <w:ind w:left="720"/>
        <w:rPr>
          <w:lang w:val="fr-CH"/>
        </w:rPr>
      </w:pPr>
      <w:r w:rsidRPr="00E17BDD">
        <w:rPr>
          <w:lang w:val="fr-CH"/>
        </w:rPr>
        <w:t xml:space="preserve">Remarque : Mise </w:t>
      </w:r>
      <w:r>
        <w:rPr>
          <w:lang w:val="fr-CH"/>
        </w:rPr>
        <w:t xml:space="preserve">au congélateur </w:t>
      </w:r>
      <w:r w:rsidRPr="00E17BDD">
        <w:rPr>
          <w:lang w:val="fr-CH"/>
        </w:rPr>
        <w:t>après</w:t>
      </w:r>
      <w:r>
        <w:rPr>
          <w:lang w:val="fr-CH"/>
        </w:rPr>
        <w:t xml:space="preserve"> le</w:t>
      </w:r>
      <w:r w:rsidRPr="00E17BDD">
        <w:rPr>
          <w:lang w:val="fr-CH"/>
        </w:rPr>
        <w:t xml:space="preserve"> </w:t>
      </w:r>
      <w:r>
        <w:rPr>
          <w:lang w:val="fr-CH"/>
        </w:rPr>
        <w:t>battage, le résultat du test de</w:t>
      </w:r>
      <w:r w:rsidRPr="00E17BDD">
        <w:rPr>
          <w:lang w:val="fr-CH"/>
        </w:rPr>
        <w:t xml:space="preserve"> germination</w:t>
      </w:r>
      <w:r>
        <w:rPr>
          <w:lang w:val="fr-CH"/>
        </w:rPr>
        <w:t xml:space="preserve"> et la dessiccation</w:t>
      </w:r>
    </w:p>
    <w:p w:rsidR="0065497F" w:rsidRDefault="0065497F" w:rsidP="0065497F">
      <w:pPr>
        <w:rPr>
          <w:lang w:val="fr-CH"/>
        </w:rPr>
      </w:pPr>
    </w:p>
    <w:p w:rsidR="0065497F" w:rsidRPr="00053FC2" w:rsidRDefault="0065497F" w:rsidP="00053FC2">
      <w:pPr>
        <w:pStyle w:val="Paragraphedeliste"/>
        <w:numPr>
          <w:ilvl w:val="0"/>
          <w:numId w:val="15"/>
        </w:numPr>
        <w:spacing w:after="200" w:line="276" w:lineRule="auto"/>
        <w:rPr>
          <w:b/>
          <w:lang w:val="fr-CH"/>
        </w:rPr>
      </w:pPr>
      <w:r w:rsidRPr="00053FC2">
        <w:rPr>
          <w:b/>
          <w:lang w:val="fr-CH"/>
        </w:rPr>
        <w:t>Calendrier et temps de travaux :</w:t>
      </w:r>
    </w:p>
    <w:p w:rsidR="009D52DF" w:rsidRDefault="009D52DF" w:rsidP="009D52DF">
      <w:pPr>
        <w:rPr>
          <w:lang w:val="fr-CH"/>
        </w:rPr>
      </w:pPr>
      <w:r>
        <w:rPr>
          <w:lang w:val="fr-CH"/>
        </w:rPr>
        <w:t>1</w:t>
      </w:r>
      <w:r w:rsidR="00053FC2">
        <w:rPr>
          <w:vertAlign w:val="superscript"/>
          <w:lang w:val="fr-CH"/>
        </w:rPr>
        <w:t>è</w:t>
      </w:r>
      <w:r w:rsidRPr="0015644F">
        <w:rPr>
          <w:vertAlign w:val="superscript"/>
          <w:lang w:val="fr-CH"/>
        </w:rPr>
        <w:t>r</w:t>
      </w:r>
      <w:r w:rsidR="00053FC2">
        <w:rPr>
          <w:vertAlign w:val="superscript"/>
          <w:lang w:val="fr-CH"/>
        </w:rPr>
        <w:t>e</w:t>
      </w:r>
      <w:r>
        <w:rPr>
          <w:lang w:val="fr-CH"/>
        </w:rPr>
        <w:t xml:space="preserve"> année</w:t>
      </w:r>
    </w:p>
    <w:tbl>
      <w:tblPr>
        <w:tblW w:w="9732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62"/>
        <w:gridCol w:w="791"/>
        <w:gridCol w:w="660"/>
        <w:gridCol w:w="660"/>
        <w:gridCol w:w="660"/>
        <w:gridCol w:w="528"/>
        <w:gridCol w:w="806"/>
        <w:gridCol w:w="752"/>
        <w:gridCol w:w="932"/>
        <w:gridCol w:w="717"/>
        <w:gridCol w:w="887"/>
        <w:gridCol w:w="1003"/>
      </w:tblGrid>
      <w:tr w:rsidR="009D52DF" w:rsidRPr="00221054" w:rsidTr="00617510">
        <w:trPr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9D52DF" w:rsidRPr="00221054" w:rsidTr="00617510">
        <w:trPr>
          <w:trHeight w:val="72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2DF" w:rsidRPr="00221054" w:rsidRDefault="00A25CF6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semis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hivernage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</w:tr>
    </w:tbl>
    <w:p w:rsidR="009D52DF" w:rsidRPr="00E668C9" w:rsidRDefault="009D52DF" w:rsidP="009D52DF">
      <w:pPr>
        <w:rPr>
          <w:lang w:val="fr-CH"/>
        </w:rPr>
      </w:pPr>
    </w:p>
    <w:p w:rsidR="009D52DF" w:rsidRPr="00E84C84" w:rsidRDefault="00053FC2" w:rsidP="009D52DF">
      <w:pPr>
        <w:rPr>
          <w:lang w:val="fr-CH"/>
        </w:rPr>
      </w:pPr>
      <w:r>
        <w:rPr>
          <w:lang w:val="fr-CH"/>
        </w:rPr>
        <w:t>2ème</w:t>
      </w:r>
      <w:r w:rsidR="009D52DF">
        <w:rPr>
          <w:lang w:val="fr-CH"/>
        </w:rPr>
        <w:t xml:space="preserve"> année</w:t>
      </w:r>
    </w:p>
    <w:tbl>
      <w:tblPr>
        <w:tblW w:w="10213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56"/>
        <w:gridCol w:w="638"/>
        <w:gridCol w:w="496"/>
        <w:gridCol w:w="863"/>
        <w:gridCol w:w="802"/>
        <w:gridCol w:w="790"/>
        <w:gridCol w:w="730"/>
        <w:gridCol w:w="772"/>
        <w:gridCol w:w="923"/>
        <w:gridCol w:w="977"/>
        <w:gridCol w:w="977"/>
        <w:gridCol w:w="871"/>
      </w:tblGrid>
      <w:tr w:rsidR="009D52DF" w:rsidRPr="00221054" w:rsidTr="00617510">
        <w:trPr>
          <w:trHeight w:val="4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9D52DF" w:rsidRPr="00221054" w:rsidTr="00617510">
        <w:trPr>
          <w:trHeight w:val="85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bookmarkStart w:id="0" w:name="_GoBack"/>
            <w:bookmarkEnd w:id="0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floraison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Récolte</w:t>
            </w:r>
          </w:p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Séchage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Battage</w:t>
            </w:r>
          </w:p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germination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Test de germination Chambre froide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Congélation</w:t>
            </w:r>
          </w:p>
        </w:tc>
      </w:tr>
    </w:tbl>
    <w:p w:rsidR="00C65390" w:rsidRPr="00B16296" w:rsidRDefault="00C65390" w:rsidP="00C65390">
      <w:pPr>
        <w:rPr>
          <w:b/>
          <w:lang w:val="fr-CH"/>
        </w:rPr>
      </w:pPr>
    </w:p>
    <w:p w:rsidR="00C65390" w:rsidRDefault="00C65390" w:rsidP="00745847">
      <w:pPr>
        <w:ind w:left="720"/>
        <w:rPr>
          <w:lang w:val="fr-CH"/>
        </w:rPr>
      </w:pPr>
    </w:p>
    <w:p w:rsidR="005657D4" w:rsidRDefault="005657D4" w:rsidP="00745847">
      <w:pPr>
        <w:ind w:left="720"/>
        <w:rPr>
          <w:lang w:val="fr-CH"/>
        </w:rPr>
      </w:pPr>
    </w:p>
    <w:p w:rsidR="005657D4" w:rsidRDefault="005657D4" w:rsidP="00745847">
      <w:pPr>
        <w:ind w:left="720"/>
        <w:rPr>
          <w:lang w:val="fr-CH"/>
        </w:rPr>
      </w:pPr>
    </w:p>
    <w:p w:rsidR="005657D4" w:rsidRPr="006D666D" w:rsidRDefault="005657D4" w:rsidP="00745847">
      <w:pPr>
        <w:ind w:left="720"/>
        <w:rPr>
          <w:lang w:val="fr-CH"/>
        </w:rPr>
      </w:pPr>
    </w:p>
    <w:p w:rsidR="00683EF0" w:rsidRPr="006D666D" w:rsidRDefault="00683EF0">
      <w:pPr>
        <w:rPr>
          <w:lang w:val="fr-CH"/>
        </w:rPr>
      </w:pPr>
    </w:p>
    <w:sectPr w:rsidR="00683EF0" w:rsidRPr="006D666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 w:rsidRPr="005657D4" w:rsidTr="00053FC2">
      <w:trPr>
        <w:cantSplit/>
        <w:trHeight w:hRule="exact" w:val="540"/>
      </w:trPr>
      <w:tc>
        <w:tcPr>
          <w:tcW w:w="9214" w:type="dxa"/>
          <w:vAlign w:val="bottom"/>
        </w:tcPr>
        <w:p w:rsidR="00973661" w:rsidRPr="00683EF0" w:rsidRDefault="00973661" w:rsidP="005657D4">
          <w:pPr>
            <w:pStyle w:val="Pfad"/>
            <w:rPr>
              <w:lang w:val="fr-FR"/>
            </w:rPr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973661" w:rsidRPr="005657D4">
      <w:trPr>
        <w:cantSplit/>
        <w:trHeight w:hRule="exact" w:val="540"/>
      </w:trPr>
      <w:tc>
        <w:tcPr>
          <w:tcW w:w="9215" w:type="dxa"/>
          <w:vAlign w:val="bottom"/>
        </w:tcPr>
        <w:p w:rsidR="00973661" w:rsidRPr="00683EF0" w:rsidRDefault="00973661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973661" w:rsidRPr="00B73BB3">
      <w:trPr>
        <w:cantSplit/>
        <w:trHeight w:hRule="exact" w:val="1980"/>
      </w:trPr>
      <w:tc>
        <w:tcPr>
          <w:tcW w:w="4848" w:type="dxa"/>
        </w:tcPr>
        <w:p w:rsidR="00973661" w:rsidRDefault="0097366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661" w:rsidRDefault="00973661">
          <w:pPr>
            <w:pStyle w:val="Logo"/>
          </w:pPr>
        </w:p>
      </w:tc>
      <w:tc>
        <w:tcPr>
          <w:tcW w:w="4961" w:type="dxa"/>
        </w:tcPr>
        <w:p w:rsidR="00973661" w:rsidRPr="00B73BB3" w:rsidRDefault="00973661" w:rsidP="006D666D">
          <w:pPr>
            <w:pStyle w:val="En-tte"/>
          </w:pPr>
        </w:p>
      </w:tc>
    </w:tr>
  </w:tbl>
  <w:p w:rsidR="00973661" w:rsidRPr="00B73BB3" w:rsidRDefault="0097366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83249"/>
    <w:multiLevelType w:val="hybridMultilevel"/>
    <w:tmpl w:val="B30E8FF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38D0"/>
    <w:multiLevelType w:val="hybridMultilevel"/>
    <w:tmpl w:val="A184AC8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674"/>
    <w:multiLevelType w:val="hybridMultilevel"/>
    <w:tmpl w:val="7F8E09F0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10B2C"/>
    <w:multiLevelType w:val="hybridMultilevel"/>
    <w:tmpl w:val="9C6A08D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53A8D"/>
    <w:multiLevelType w:val="hybridMultilevel"/>
    <w:tmpl w:val="0B68DD14"/>
    <w:lvl w:ilvl="0" w:tplc="10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13930"/>
    <w:multiLevelType w:val="hybridMultilevel"/>
    <w:tmpl w:val="E1868F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332254"/>
    <w:multiLevelType w:val="hybridMultilevel"/>
    <w:tmpl w:val="74CE66B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75690F"/>
    <w:multiLevelType w:val="hybridMultilevel"/>
    <w:tmpl w:val="725C8D6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12269"/>
    <w:multiLevelType w:val="hybridMultilevel"/>
    <w:tmpl w:val="4B5EDB4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B2F4A"/>
    <w:multiLevelType w:val="hybridMultilevel"/>
    <w:tmpl w:val="97F28C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17"/>
  </w:num>
  <w:num w:numId="18">
    <w:abstractNumId w:val="19"/>
  </w:num>
  <w:num w:numId="19">
    <w:abstractNumId w:val="16"/>
  </w:num>
  <w:num w:numId="20">
    <w:abstractNumId w:val="23"/>
  </w:num>
  <w:num w:numId="21">
    <w:abstractNumId w:val="12"/>
  </w:num>
  <w:num w:numId="22">
    <w:abstractNumId w:val="10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34AB9"/>
    <w:rsid w:val="00035565"/>
    <w:rsid w:val="00052862"/>
    <w:rsid w:val="00053FC2"/>
    <w:rsid w:val="000E47AE"/>
    <w:rsid w:val="00105CD0"/>
    <w:rsid w:val="0015330F"/>
    <w:rsid w:val="001D3802"/>
    <w:rsid w:val="001E159F"/>
    <w:rsid w:val="00311BCE"/>
    <w:rsid w:val="00356B3E"/>
    <w:rsid w:val="003A5E38"/>
    <w:rsid w:val="003B08CA"/>
    <w:rsid w:val="003F06B5"/>
    <w:rsid w:val="0044422B"/>
    <w:rsid w:val="0049569F"/>
    <w:rsid w:val="004C7753"/>
    <w:rsid w:val="004D2ACC"/>
    <w:rsid w:val="005657D4"/>
    <w:rsid w:val="005767A9"/>
    <w:rsid w:val="0059389F"/>
    <w:rsid w:val="005D75E8"/>
    <w:rsid w:val="005F26B3"/>
    <w:rsid w:val="006341EE"/>
    <w:rsid w:val="0065497F"/>
    <w:rsid w:val="00682CA8"/>
    <w:rsid w:val="00683EF0"/>
    <w:rsid w:val="006D666D"/>
    <w:rsid w:val="006F5C75"/>
    <w:rsid w:val="006F6179"/>
    <w:rsid w:val="00742D08"/>
    <w:rsid w:val="00745847"/>
    <w:rsid w:val="00807F4F"/>
    <w:rsid w:val="00821899"/>
    <w:rsid w:val="00825F62"/>
    <w:rsid w:val="00827194"/>
    <w:rsid w:val="00862CA5"/>
    <w:rsid w:val="00973661"/>
    <w:rsid w:val="009D52DF"/>
    <w:rsid w:val="00A01749"/>
    <w:rsid w:val="00A25CF6"/>
    <w:rsid w:val="00A73F76"/>
    <w:rsid w:val="00A80585"/>
    <w:rsid w:val="00B14A72"/>
    <w:rsid w:val="00B16296"/>
    <w:rsid w:val="00B30FA2"/>
    <w:rsid w:val="00B66A7C"/>
    <w:rsid w:val="00B73BB3"/>
    <w:rsid w:val="00BA2372"/>
    <w:rsid w:val="00C1231C"/>
    <w:rsid w:val="00C3219C"/>
    <w:rsid w:val="00C605DC"/>
    <w:rsid w:val="00C65390"/>
    <w:rsid w:val="00CA3129"/>
    <w:rsid w:val="00D50A07"/>
    <w:rsid w:val="00D76EE7"/>
    <w:rsid w:val="00D81CD4"/>
    <w:rsid w:val="00D832DA"/>
    <w:rsid w:val="00D92714"/>
    <w:rsid w:val="00EB421D"/>
    <w:rsid w:val="00F17F9B"/>
    <w:rsid w:val="00F24971"/>
    <w:rsid w:val="00FA4346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7382F99"/>
  <w15:docId w15:val="{A8C8DC08-F398-4122-ADBA-F9907CB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link w:val="TitreCar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034AB9"/>
    <w:pPr>
      <w:ind w:left="720"/>
      <w:contextualSpacing/>
    </w:pPr>
  </w:style>
  <w:style w:type="table" w:styleId="Grilledutableau">
    <w:name w:val="Table Grid"/>
    <w:basedOn w:val="TableauNormal"/>
    <w:rsid w:val="00FA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rsid w:val="00053FC2"/>
    <w:rPr>
      <w:rFonts w:ascii="Arial" w:hAnsi="Arial" w:cs="Arial"/>
      <w:b/>
      <w:bCs/>
      <w:kern w:val="28"/>
      <w:sz w:val="42"/>
      <w:szCs w:val="3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Saïd Elfouki</dc:creator>
  <cp:keywords>Rapport</cp:keywords>
  <cp:lastModifiedBy>Schierscher-Viret Beate Agroscope</cp:lastModifiedBy>
  <cp:revision>3</cp:revision>
  <cp:lastPrinted>2014-08-20T12:02:00Z</cp:lastPrinted>
  <dcterms:created xsi:type="dcterms:W3CDTF">2019-09-06T15:37:00Z</dcterms:created>
  <dcterms:modified xsi:type="dcterms:W3CDTF">2019-09-06T15:48:00Z</dcterms:modified>
</cp:coreProperties>
</file>